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t>Gangs and Deviant Leisure Interviews</w:t>
      </w: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t>Student’s Name</w:t>
      </w: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t>Institution</w:t>
      </w: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t>Course</w:t>
      </w: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t>Professor’s Name</w:t>
      </w: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t>Date</w:t>
      </w: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967A70" w:rsidP="009F7580">
      <w:pPr>
        <w:spacing w:line="480" w:lineRule="auto"/>
        <w:ind w:firstLine="720"/>
        <w:jc w:val="center"/>
        <w:rPr>
          <w:rFonts w:ascii="Times New Roman" w:hAnsi="Times New Roman" w:cs="Times New Roman"/>
          <w:sz w:val="24"/>
          <w:szCs w:val="24"/>
        </w:rPr>
      </w:pPr>
    </w:p>
    <w:p w:rsidR="00967A70"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lastRenderedPageBreak/>
        <w:t>Gangs and Deviant Leisure Interviews</w:t>
      </w:r>
    </w:p>
    <w:p w:rsidR="00967A70"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t>An in-depth interview entails an occasion when the interviewer asks detailed questions beyond initial and surface-level questions to obtain comprehensive data</w:t>
      </w:r>
      <w:r w:rsidR="00045AE0" w:rsidRPr="009F7580">
        <w:rPr>
          <w:rFonts w:ascii="Times New Roman" w:hAnsi="Times New Roman" w:cs="Times New Roman"/>
          <w:sz w:val="24"/>
          <w:szCs w:val="24"/>
        </w:rPr>
        <w:t xml:space="preserve"> </w:t>
      </w:r>
      <w:r w:rsidRPr="009F7580">
        <w:rPr>
          <w:rFonts w:ascii="Times New Roman" w:hAnsi="Times New Roman" w:cs="Times New Roman"/>
          <w:sz w:val="24"/>
          <w:szCs w:val="24"/>
        </w:rPr>
        <w:t xml:space="preserve">. Therefore, these interviews are often long and may include multiple interviews with the same interviewee. In a semi-structured interview, the interviewer asks limited predetermined questions, although un-planned questions may arise. These interviews combine the structured and unstructured interview aspects and benefit from both approaches. An individual interview takes between 30 to 60 minutes per interviewee. Also, this interview allows the interviewer to </w:t>
      </w:r>
      <w:r w:rsidR="0021066C" w:rsidRPr="009F7580">
        <w:rPr>
          <w:rFonts w:ascii="Times New Roman" w:hAnsi="Times New Roman" w:cs="Times New Roman"/>
          <w:sz w:val="24"/>
          <w:szCs w:val="24"/>
        </w:rPr>
        <w:t>identify the interviewee's attitudes, beliefs, experiences, and desires. As a result, the interviewer can understand the reasons for his subject's responses.</w:t>
      </w:r>
    </w:p>
    <w:p w:rsidR="0021066C"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t xml:space="preserve">Due to the detailed questions associated with the in-depth interviews, the interviewees may provide carefully thought answers due to tension that may arise from the research topic. A barrier to getting correct answers to the research questions arises if the interviewee doubts the interviewer's intentions. Also, exposing the interviewee to long hours of questioning may trigger less relevant answers from the participant. The semi-structured interviews may provide the best responses to the research questions since they are usually short. Also, they give the researcher a chance to develop questions depending on the participant's responses to satisfy the research objectives. Individual interviews are also likely to provide </w:t>
      </w:r>
      <w:r w:rsidR="00E05C19" w:rsidRPr="009F7580">
        <w:rPr>
          <w:rFonts w:ascii="Times New Roman" w:hAnsi="Times New Roman" w:cs="Times New Roman"/>
          <w:sz w:val="24"/>
          <w:szCs w:val="24"/>
        </w:rPr>
        <w:t>good answers to the research questions because they take advantage of the interviewee's attributes.</w:t>
      </w:r>
    </w:p>
    <w:p w:rsidR="00E05C19"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t>The authors interviewed thirty-nine gang members and recreation practitioners</w:t>
      </w:r>
      <w:r w:rsidR="00437374" w:rsidRPr="009F7580">
        <w:rPr>
          <w:rFonts w:ascii="Times New Roman" w:hAnsi="Times New Roman" w:cs="Times New Roman"/>
          <w:sz w:val="24"/>
          <w:szCs w:val="24"/>
        </w:rPr>
        <w:t xml:space="preserve"> (</w:t>
      </w:r>
      <w:r w:rsidR="00437374" w:rsidRPr="009F7580">
        <w:rPr>
          <w:rFonts w:ascii="Times New Roman" w:hAnsi="Times New Roman" w:cs="Times New Roman"/>
          <w:color w:val="222222"/>
          <w:sz w:val="24"/>
          <w:szCs w:val="24"/>
          <w:shd w:val="clear" w:color="auto" w:fill="FFFFFF"/>
        </w:rPr>
        <w:t>Stodolska et al., 2019)</w:t>
      </w:r>
      <w:r w:rsidRPr="009F7580">
        <w:rPr>
          <w:rFonts w:ascii="Times New Roman" w:hAnsi="Times New Roman" w:cs="Times New Roman"/>
          <w:sz w:val="24"/>
          <w:szCs w:val="24"/>
        </w:rPr>
        <w:t xml:space="preserve">. Thirty of the interviews were utilized in making the final report on the research. The various gangs represented by the interviewees included Almighty Saints, Gangster Disciples, Insane Spanish Cobras, Blackstone Rangers, Latin Kings &amp; Queens, Tutu Boys, and </w:t>
      </w:r>
      <w:r w:rsidRPr="009F7580">
        <w:rPr>
          <w:rFonts w:ascii="Times New Roman" w:hAnsi="Times New Roman" w:cs="Times New Roman"/>
          <w:sz w:val="24"/>
          <w:szCs w:val="24"/>
        </w:rPr>
        <w:lastRenderedPageBreak/>
        <w:t xml:space="preserve">Two-Sixes. </w:t>
      </w:r>
      <w:r w:rsidR="00714FEB" w:rsidRPr="009F7580">
        <w:rPr>
          <w:rFonts w:ascii="Times New Roman" w:hAnsi="Times New Roman" w:cs="Times New Roman"/>
          <w:sz w:val="24"/>
          <w:szCs w:val="24"/>
        </w:rPr>
        <w:t>The criteria for selection included the former membership in a gang. Again, recreation practitioners qualified to participate in the interview because they regularly engaged with the gang members at their workplaces.</w:t>
      </w:r>
    </w:p>
    <w:p w:rsidR="00714FEB"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t xml:space="preserve">For the research, the authors excluded active gang members. To gain information on the active individuals in various gangs, the authors chose to use the employees who work in recreational facilities where these gangs meet for leisure. Several reasons caused the exclusion of active people in gangs. First, the </w:t>
      </w:r>
      <w:r w:rsidR="008E62C3" w:rsidRPr="009F7580">
        <w:rPr>
          <w:rFonts w:ascii="Times New Roman" w:hAnsi="Times New Roman" w:cs="Times New Roman"/>
          <w:sz w:val="24"/>
          <w:szCs w:val="24"/>
        </w:rPr>
        <w:t>institutional</w:t>
      </w:r>
      <w:r w:rsidRPr="009F7580">
        <w:rPr>
          <w:rFonts w:ascii="Times New Roman" w:hAnsi="Times New Roman" w:cs="Times New Roman"/>
          <w:sz w:val="24"/>
          <w:szCs w:val="24"/>
        </w:rPr>
        <w:t xml:space="preserve"> review board raised concerns about the safety of interviewing an </w:t>
      </w:r>
      <w:r w:rsidR="00851B45" w:rsidRPr="009F7580">
        <w:rPr>
          <w:rFonts w:ascii="Times New Roman" w:hAnsi="Times New Roman" w:cs="Times New Roman"/>
          <w:sz w:val="24"/>
          <w:szCs w:val="24"/>
        </w:rPr>
        <w:t>individual who</w:t>
      </w:r>
      <w:r w:rsidR="008E62C3" w:rsidRPr="009F7580">
        <w:rPr>
          <w:rFonts w:ascii="Times New Roman" w:hAnsi="Times New Roman" w:cs="Times New Roman"/>
          <w:sz w:val="24"/>
          <w:szCs w:val="24"/>
        </w:rPr>
        <w:t xml:space="preserve"> was actively involved in deviance and crime. Secondly, there was fear for retribution to the research subjects who were active gang members by their counterparts. The researchers based their concerns on the gangs' reactions following the revelation of illegal activities by the interviewees.</w:t>
      </w:r>
    </w:p>
    <w:p w:rsidR="008E62C3"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t>The authors used assistance from crucial informants from some organization</w:t>
      </w:r>
      <w:r w:rsidR="00045AE0" w:rsidRPr="009F7580">
        <w:rPr>
          <w:rFonts w:ascii="Times New Roman" w:hAnsi="Times New Roman" w:cs="Times New Roman"/>
          <w:sz w:val="24"/>
          <w:szCs w:val="24"/>
        </w:rPr>
        <w:t>s to identify their interviewees(</w:t>
      </w:r>
      <w:r w:rsidR="00045AE0" w:rsidRPr="009F7580">
        <w:rPr>
          <w:rFonts w:ascii="Times New Roman" w:hAnsi="Times New Roman" w:cs="Times New Roman"/>
          <w:color w:val="222222"/>
          <w:sz w:val="24"/>
          <w:szCs w:val="24"/>
          <w:shd w:val="clear" w:color="auto" w:fill="FFFFFF"/>
        </w:rPr>
        <w:t>Stodolska et al., 2019)</w:t>
      </w:r>
      <w:r w:rsidRPr="009F7580">
        <w:rPr>
          <w:rFonts w:ascii="Times New Roman" w:hAnsi="Times New Roman" w:cs="Times New Roman"/>
          <w:sz w:val="24"/>
          <w:szCs w:val="24"/>
        </w:rPr>
        <w:t xml:space="preserve">. These organizations included the center for women in transition, the Chicago dream center, cure violence, and the new life community church. The researchers also set standards for saturation to avoid an over-representation of interviewees from the same gang. The organizations above had connections to former members and knowledge of the best-suited individuals for such interviews. It would be easy for an organization dealing with </w:t>
      </w:r>
      <w:r w:rsidR="00437374" w:rsidRPr="009F7580">
        <w:rPr>
          <w:rFonts w:ascii="Times New Roman" w:hAnsi="Times New Roman" w:cs="Times New Roman"/>
          <w:sz w:val="24"/>
          <w:szCs w:val="24"/>
        </w:rPr>
        <w:t>ex-crime participants to identify those that still have links to the groups and those who may offer the most reliable answers to the research questions.</w:t>
      </w:r>
    </w:p>
    <w:p w:rsidR="00437374"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t xml:space="preserve">The interviewees would agree to participate in these interviews for several reasons, even when they have information on the interviewers. First, being former and transforming gang members, such individuals would be open to discuss their previous life experiences to foster the change they needed and influence others not to engage in deviant acts. Ex-gang members would </w:t>
      </w:r>
      <w:r w:rsidRPr="009F7580">
        <w:rPr>
          <w:rFonts w:ascii="Times New Roman" w:hAnsi="Times New Roman" w:cs="Times New Roman"/>
          <w:sz w:val="24"/>
          <w:szCs w:val="24"/>
        </w:rPr>
        <w:lastRenderedPageBreak/>
        <w:t>be willing to talk about gang activities because doing so would not prompt government retribution since they were no longer members. An individual may also choose to talk about their crime life after establishing trust with the interviewers.</w:t>
      </w:r>
    </w:p>
    <w:p w:rsidR="00437374" w:rsidRPr="009F7580" w:rsidRDefault="002E40EB" w:rsidP="009F7580">
      <w:pPr>
        <w:spacing w:line="480" w:lineRule="auto"/>
        <w:ind w:firstLine="720"/>
        <w:rPr>
          <w:rFonts w:ascii="Times New Roman" w:hAnsi="Times New Roman" w:cs="Times New Roman"/>
          <w:sz w:val="24"/>
          <w:szCs w:val="24"/>
        </w:rPr>
      </w:pPr>
      <w:r w:rsidRPr="009F7580">
        <w:rPr>
          <w:rFonts w:ascii="Times New Roman" w:hAnsi="Times New Roman" w:cs="Times New Roman"/>
          <w:sz w:val="24"/>
          <w:szCs w:val="24"/>
        </w:rPr>
        <w:br w:type="page"/>
      </w:r>
    </w:p>
    <w:p w:rsidR="00437374" w:rsidRPr="009F7580" w:rsidRDefault="002E40EB" w:rsidP="009F7580">
      <w:pPr>
        <w:spacing w:line="480" w:lineRule="auto"/>
        <w:ind w:firstLine="720"/>
        <w:jc w:val="center"/>
        <w:rPr>
          <w:rFonts w:ascii="Times New Roman" w:hAnsi="Times New Roman" w:cs="Times New Roman"/>
          <w:sz w:val="24"/>
          <w:szCs w:val="24"/>
        </w:rPr>
      </w:pPr>
      <w:r w:rsidRPr="009F7580">
        <w:rPr>
          <w:rFonts w:ascii="Times New Roman" w:hAnsi="Times New Roman" w:cs="Times New Roman"/>
          <w:sz w:val="24"/>
          <w:szCs w:val="24"/>
        </w:rPr>
        <w:lastRenderedPageBreak/>
        <w:t>References</w:t>
      </w:r>
    </w:p>
    <w:p w:rsidR="009F7580" w:rsidRPr="009F7580" w:rsidRDefault="009F7580" w:rsidP="003267FD">
      <w:pPr>
        <w:spacing w:line="480" w:lineRule="auto"/>
        <w:ind w:left="720" w:hanging="720"/>
        <w:rPr>
          <w:rFonts w:ascii="Times New Roman" w:hAnsi="Times New Roman" w:cs="Times New Roman"/>
          <w:color w:val="222222"/>
          <w:sz w:val="24"/>
          <w:szCs w:val="24"/>
          <w:shd w:val="clear" w:color="auto" w:fill="FFFFFF"/>
        </w:rPr>
      </w:pPr>
      <w:r w:rsidRPr="009F7580">
        <w:rPr>
          <w:rFonts w:ascii="Times New Roman" w:hAnsi="Times New Roman" w:cs="Times New Roman"/>
          <w:color w:val="222222"/>
          <w:sz w:val="24"/>
          <w:szCs w:val="24"/>
          <w:shd w:val="clear" w:color="auto" w:fill="FFFFFF"/>
        </w:rPr>
        <w:t>Stodolska, M., Berdychevsky, L., &amp; Shinew, K. J. (2019). Gangs and deviant leisure. </w:t>
      </w:r>
      <w:r w:rsidRPr="009F7580">
        <w:rPr>
          <w:rFonts w:ascii="Times New Roman" w:hAnsi="Times New Roman" w:cs="Times New Roman"/>
          <w:i/>
          <w:iCs/>
          <w:color w:val="222222"/>
          <w:sz w:val="24"/>
          <w:szCs w:val="24"/>
          <w:shd w:val="clear" w:color="auto" w:fill="FFFFFF"/>
        </w:rPr>
        <w:t>Leisure Sciences</w:t>
      </w:r>
      <w:r w:rsidRPr="009F7580">
        <w:rPr>
          <w:rFonts w:ascii="Times New Roman" w:hAnsi="Times New Roman" w:cs="Times New Roman"/>
          <w:color w:val="222222"/>
          <w:sz w:val="24"/>
          <w:szCs w:val="24"/>
          <w:shd w:val="clear" w:color="auto" w:fill="FFFFFF"/>
        </w:rPr>
        <w:t>, </w:t>
      </w:r>
      <w:r w:rsidRPr="009F7580">
        <w:rPr>
          <w:rFonts w:ascii="Times New Roman" w:hAnsi="Times New Roman" w:cs="Times New Roman"/>
          <w:i/>
          <w:iCs/>
          <w:color w:val="222222"/>
          <w:sz w:val="24"/>
          <w:szCs w:val="24"/>
          <w:shd w:val="clear" w:color="auto" w:fill="FFFFFF"/>
        </w:rPr>
        <w:t>41</w:t>
      </w:r>
      <w:r w:rsidRPr="009F7580">
        <w:rPr>
          <w:rFonts w:ascii="Times New Roman" w:hAnsi="Times New Roman" w:cs="Times New Roman"/>
          <w:color w:val="222222"/>
          <w:sz w:val="24"/>
          <w:szCs w:val="24"/>
          <w:shd w:val="clear" w:color="auto" w:fill="FFFFFF"/>
        </w:rPr>
        <w:t>(4), 278-293.</w:t>
      </w:r>
    </w:p>
    <w:sectPr w:rsidR="009F7580" w:rsidRPr="009F7580" w:rsidSect="001148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3C0D" w:rsidRDefault="00F03C0D">
      <w:pPr>
        <w:spacing w:after="0" w:line="240" w:lineRule="auto"/>
      </w:pPr>
      <w:r>
        <w:separator/>
      </w:r>
    </w:p>
  </w:endnote>
  <w:endnote w:type="continuationSeparator" w:id="1">
    <w:p w:rsidR="00F03C0D" w:rsidRDefault="00F03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3C0D" w:rsidRDefault="00F03C0D">
      <w:pPr>
        <w:spacing w:after="0" w:line="240" w:lineRule="auto"/>
      </w:pPr>
      <w:r>
        <w:separator/>
      </w:r>
    </w:p>
  </w:footnote>
  <w:footnote w:type="continuationSeparator" w:id="1">
    <w:p w:rsidR="00F03C0D" w:rsidRDefault="00F03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9510081"/>
      <w:docPartObj>
        <w:docPartGallery w:val="Page Numbers (Top of Page)"/>
        <w:docPartUnique/>
      </w:docPartObj>
    </w:sdtPr>
    <w:sdtEndPr>
      <w:rPr>
        <w:rFonts w:ascii="Times New Roman" w:hAnsi="Times New Roman" w:cs="Times New Roman"/>
        <w:noProof/>
        <w:sz w:val="24"/>
        <w:szCs w:val="24"/>
      </w:rPr>
    </w:sdtEndPr>
    <w:sdtContent>
      <w:p w:rsidR="00967A70" w:rsidRPr="00967A70" w:rsidRDefault="00C179DE">
        <w:pPr>
          <w:pStyle w:val="Header"/>
          <w:jc w:val="right"/>
          <w:rPr>
            <w:rFonts w:ascii="Times New Roman" w:hAnsi="Times New Roman" w:cs="Times New Roman"/>
            <w:sz w:val="24"/>
            <w:szCs w:val="24"/>
          </w:rPr>
        </w:pPr>
        <w:r w:rsidRPr="00967A70">
          <w:rPr>
            <w:rFonts w:ascii="Times New Roman" w:hAnsi="Times New Roman" w:cs="Times New Roman"/>
            <w:sz w:val="24"/>
            <w:szCs w:val="24"/>
          </w:rPr>
          <w:fldChar w:fldCharType="begin"/>
        </w:r>
        <w:r w:rsidR="002E40EB" w:rsidRPr="00967A70">
          <w:rPr>
            <w:rFonts w:ascii="Times New Roman" w:hAnsi="Times New Roman" w:cs="Times New Roman"/>
            <w:sz w:val="24"/>
            <w:szCs w:val="24"/>
          </w:rPr>
          <w:instrText xml:space="preserve"> PAGE   \* MERGEFORMAT </w:instrText>
        </w:r>
        <w:r w:rsidRPr="00967A70">
          <w:rPr>
            <w:rFonts w:ascii="Times New Roman" w:hAnsi="Times New Roman" w:cs="Times New Roman"/>
            <w:sz w:val="24"/>
            <w:szCs w:val="24"/>
          </w:rPr>
          <w:fldChar w:fldCharType="separate"/>
        </w:r>
        <w:r w:rsidR="00851B45">
          <w:rPr>
            <w:rFonts w:ascii="Times New Roman" w:hAnsi="Times New Roman" w:cs="Times New Roman"/>
            <w:noProof/>
            <w:sz w:val="24"/>
            <w:szCs w:val="24"/>
          </w:rPr>
          <w:t>1</w:t>
        </w:r>
        <w:r w:rsidRPr="00967A70">
          <w:rPr>
            <w:rFonts w:ascii="Times New Roman" w:hAnsi="Times New Roman" w:cs="Times New Roman"/>
            <w:noProof/>
            <w:sz w:val="24"/>
            <w:szCs w:val="24"/>
          </w:rPr>
          <w:fldChar w:fldCharType="end"/>
        </w:r>
      </w:p>
    </w:sdtContent>
  </w:sdt>
  <w:p w:rsidR="00967A70" w:rsidRDefault="00967A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7A70"/>
    <w:rsid w:val="00045AE0"/>
    <w:rsid w:val="000C6F67"/>
    <w:rsid w:val="0011487B"/>
    <w:rsid w:val="0021066C"/>
    <w:rsid w:val="002E40EB"/>
    <w:rsid w:val="003267FD"/>
    <w:rsid w:val="00437374"/>
    <w:rsid w:val="005D3B96"/>
    <w:rsid w:val="00714FEB"/>
    <w:rsid w:val="00851B45"/>
    <w:rsid w:val="008E62C3"/>
    <w:rsid w:val="00967A70"/>
    <w:rsid w:val="009F7580"/>
    <w:rsid w:val="00C179DE"/>
    <w:rsid w:val="00E05C19"/>
    <w:rsid w:val="00F03C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8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A70"/>
  </w:style>
  <w:style w:type="paragraph" w:styleId="Footer">
    <w:name w:val="footer"/>
    <w:basedOn w:val="Normal"/>
    <w:link w:val="FooterChar"/>
    <w:uiPriority w:val="99"/>
    <w:unhideWhenUsed/>
    <w:rsid w:val="00967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A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2021-10-05T06:57:00Z</dcterms:created>
  <dcterms:modified xsi:type="dcterms:W3CDTF">2021-10-05T06:57:00Z</dcterms:modified>
</cp:coreProperties>
</file>